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选煤厂智能化建设项目栈桥巡检机器人系统采购招标公告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26</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选煤厂智能化建设项目</w:t>
      </w:r>
      <w:r>
        <w:rPr>
          <w:rFonts w:ascii="仿宋" w:hAnsi="仿宋" w:eastAsia="仿宋" w:cs="Calibri"/>
          <w:kern w:val="0"/>
          <w:sz w:val="24"/>
          <w:szCs w:val="24"/>
        </w:rPr>
        <w:t>-</w:t>
      </w:r>
      <w:r>
        <w:rPr>
          <w:rFonts w:hint="eastAsia" w:ascii="仿宋" w:hAnsi="仿宋" w:eastAsia="仿宋" w:cs="Calibri"/>
          <w:kern w:val="0"/>
          <w:sz w:val="24"/>
          <w:szCs w:val="24"/>
        </w:rPr>
        <w:t>栈桥巡检机器人系统采购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hint="eastAsia" w:ascii="仿宋" w:hAnsi="仿宋" w:eastAsia="仿宋" w:cs="Calibri"/>
          <w:kern w:val="0"/>
          <w:sz w:val="24"/>
          <w:szCs w:val="24"/>
          <w:lang w:eastAsia="zh-CN"/>
        </w:rPr>
      </w:pPr>
      <w:r>
        <w:rPr>
          <w:rFonts w:hint="eastAsia" w:ascii="仿宋" w:hAnsi="仿宋" w:eastAsia="仿宋" w:cs="Calibri"/>
          <w:kern w:val="0"/>
          <w:sz w:val="24"/>
          <w:szCs w:val="24"/>
        </w:rPr>
        <w:t>招标范围：主要内容为301/302胶带机栈桥巡检机器人系统</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具体详见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r>
        <w:rPr>
          <w:rFonts w:hint="eastAsia" w:ascii="仿宋" w:hAnsi="仿宋" w:eastAsia="仿宋" w:cs="Calibri"/>
          <w:kern w:val="0"/>
          <w:sz w:val="24"/>
          <w:szCs w:val="24"/>
          <w:lang w:eastAsia="zh-CN"/>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1、投标人须是在中华人民共和国境内注册的独立法人（提供复印件加盖公章）；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2、投标人须提供国家高新技术企业（提供证明材料复印件加盖公章）；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3、投标人具有近三年完成的皮带机场景业绩不少于两例（提供合同复印件加盖公章）；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-2023年5月31日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26</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bookmarkStart w:id="0" w:name="_GoBack"/>
      <w:r>
        <w:rPr>
          <w:rFonts w:hint="eastAsia" w:ascii="仿宋" w:hAnsi="仿宋" w:eastAsia="仿宋" w:cs="Calibri"/>
          <w:b/>
          <w:bCs/>
          <w:kern w:val="0"/>
          <w:sz w:val="24"/>
          <w:szCs w:val="24"/>
        </w:rPr>
        <w:t>六、发布公告的媒介</w:t>
      </w:r>
    </w:p>
    <w:bookmarkEnd w:id="0"/>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址：江苏省南京市浦口区浦东路20号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025-85046328</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kern w:val="0"/>
          <w:sz w:val="24"/>
          <w:szCs w:val="24"/>
        </w:rPr>
        <w:t>zmnjsjyzb@163.com</w:t>
      </w:r>
      <w:r>
        <w:rPr>
          <w:rFonts w:hint="eastAsia" w:ascii="仿宋" w:hAnsi="仿宋" w:eastAsia="仿宋" w:cs="Calibri"/>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.25</w:t>
      </w:r>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19CC"/>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3088"/>
    <w:rsid w:val="002918CC"/>
    <w:rsid w:val="002A2445"/>
    <w:rsid w:val="002B46C1"/>
    <w:rsid w:val="002D3740"/>
    <w:rsid w:val="0034079A"/>
    <w:rsid w:val="003667CF"/>
    <w:rsid w:val="00367DAE"/>
    <w:rsid w:val="00393CF4"/>
    <w:rsid w:val="00394CB2"/>
    <w:rsid w:val="00394E56"/>
    <w:rsid w:val="00396C56"/>
    <w:rsid w:val="00422E09"/>
    <w:rsid w:val="00436877"/>
    <w:rsid w:val="004843DC"/>
    <w:rsid w:val="00487554"/>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C3326"/>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60BBE"/>
    <w:rsid w:val="00A94EAA"/>
    <w:rsid w:val="00AD6244"/>
    <w:rsid w:val="00AE4DEF"/>
    <w:rsid w:val="00AE5CC0"/>
    <w:rsid w:val="00B204AC"/>
    <w:rsid w:val="00B5666A"/>
    <w:rsid w:val="00BA5F23"/>
    <w:rsid w:val="00BA6DC2"/>
    <w:rsid w:val="00C27732"/>
    <w:rsid w:val="00C34FC9"/>
    <w:rsid w:val="00C54472"/>
    <w:rsid w:val="00C605E9"/>
    <w:rsid w:val="00C73A90"/>
    <w:rsid w:val="00CD6F3B"/>
    <w:rsid w:val="00D151E3"/>
    <w:rsid w:val="00D220A2"/>
    <w:rsid w:val="00D26675"/>
    <w:rsid w:val="00D3184A"/>
    <w:rsid w:val="00D66BC5"/>
    <w:rsid w:val="00D71A41"/>
    <w:rsid w:val="00D87C0D"/>
    <w:rsid w:val="00DA4985"/>
    <w:rsid w:val="00DA5620"/>
    <w:rsid w:val="00DB1D3A"/>
    <w:rsid w:val="00DD5EFF"/>
    <w:rsid w:val="00DE7521"/>
    <w:rsid w:val="00E061AF"/>
    <w:rsid w:val="00E450DF"/>
    <w:rsid w:val="00E9003D"/>
    <w:rsid w:val="00E949A2"/>
    <w:rsid w:val="00EA47D8"/>
    <w:rsid w:val="00EE6BEE"/>
    <w:rsid w:val="00F24AC0"/>
    <w:rsid w:val="00F428B5"/>
    <w:rsid w:val="00F52D85"/>
    <w:rsid w:val="00F551E2"/>
    <w:rsid w:val="00F77B02"/>
    <w:rsid w:val="00F96712"/>
    <w:rsid w:val="00FB4FFE"/>
    <w:rsid w:val="00FB77B4"/>
    <w:rsid w:val="00FC00EA"/>
    <w:rsid w:val="00FC0FAD"/>
    <w:rsid w:val="00FC1361"/>
    <w:rsid w:val="01BA3B84"/>
    <w:rsid w:val="05B27DC2"/>
    <w:rsid w:val="06F347DD"/>
    <w:rsid w:val="0E2A515F"/>
    <w:rsid w:val="0F7656DC"/>
    <w:rsid w:val="11271956"/>
    <w:rsid w:val="11B17B5A"/>
    <w:rsid w:val="128F634E"/>
    <w:rsid w:val="165464BC"/>
    <w:rsid w:val="1C057412"/>
    <w:rsid w:val="1E746D84"/>
    <w:rsid w:val="1FB02549"/>
    <w:rsid w:val="212E3170"/>
    <w:rsid w:val="23365D16"/>
    <w:rsid w:val="267D3705"/>
    <w:rsid w:val="27433CA3"/>
    <w:rsid w:val="2A3222D4"/>
    <w:rsid w:val="2AFB08AA"/>
    <w:rsid w:val="2B5B781A"/>
    <w:rsid w:val="2DB41456"/>
    <w:rsid w:val="304200E7"/>
    <w:rsid w:val="33230BD0"/>
    <w:rsid w:val="36981915"/>
    <w:rsid w:val="373C19CF"/>
    <w:rsid w:val="38C518AF"/>
    <w:rsid w:val="3BC11D04"/>
    <w:rsid w:val="3CC65771"/>
    <w:rsid w:val="43A844DE"/>
    <w:rsid w:val="468D476A"/>
    <w:rsid w:val="48660279"/>
    <w:rsid w:val="4AAA61F4"/>
    <w:rsid w:val="4F3F0645"/>
    <w:rsid w:val="51E753DE"/>
    <w:rsid w:val="52985BFA"/>
    <w:rsid w:val="52B166F3"/>
    <w:rsid w:val="56EF7497"/>
    <w:rsid w:val="58150567"/>
    <w:rsid w:val="59190BBF"/>
    <w:rsid w:val="597A14E7"/>
    <w:rsid w:val="5A691102"/>
    <w:rsid w:val="5BF8652C"/>
    <w:rsid w:val="5C6A0E18"/>
    <w:rsid w:val="611C6463"/>
    <w:rsid w:val="63443890"/>
    <w:rsid w:val="64397EBD"/>
    <w:rsid w:val="64E2007C"/>
    <w:rsid w:val="697C33E7"/>
    <w:rsid w:val="6AA264DC"/>
    <w:rsid w:val="6BCB6905"/>
    <w:rsid w:val="6F526F22"/>
    <w:rsid w:val="6FBE2549"/>
    <w:rsid w:val="75861E8E"/>
    <w:rsid w:val="7951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ody Text"/>
    <w:basedOn w:val="1"/>
    <w:link w:val="16"/>
    <w:qFormat/>
    <w:uiPriority w:val="0"/>
    <w:pPr>
      <w:jc w:val="center"/>
    </w:pPr>
    <w:rPr>
      <w:rFonts w:ascii="宋体" w:hAnsi="Calibri" w:eastAsia="宋体" w:cs="Times New Roman"/>
      <w:b/>
      <w:bCs/>
      <w:sz w:val="36"/>
      <w:szCs w:val="20"/>
    </w:rPr>
  </w:style>
  <w:style w:type="paragraph" w:styleId="4">
    <w:name w:val="Body Text Indent"/>
    <w:basedOn w:val="1"/>
    <w:link w:val="18"/>
    <w:semiHidden/>
    <w:unhideWhenUsed/>
    <w:qFormat/>
    <w:uiPriority w:val="99"/>
    <w:pPr>
      <w:spacing w:after="120"/>
      <w:ind w:left="420" w:leftChars="200"/>
    </w:pPr>
  </w:style>
  <w:style w:type="paragraph" w:styleId="5">
    <w:name w:val="Plain Text"/>
    <w:basedOn w:val="1"/>
    <w:link w:val="17"/>
    <w:qFormat/>
    <w:uiPriority w:val="0"/>
    <w:pPr>
      <w:spacing w:line="360" w:lineRule="auto"/>
    </w:pPr>
    <w:rPr>
      <w:rFonts w:ascii="宋体" w:hAnsi="Courier New" w:eastAsia="宋体" w:cs="Times New Roman"/>
      <w:sz w:val="24"/>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1"/>
    <w:semiHidden/>
    <w:unhideWhenUsed/>
    <w:qFormat/>
    <w:uiPriority w:val="99"/>
    <w:rPr>
      <w:b/>
      <w:bCs/>
    </w:rPr>
  </w:style>
  <w:style w:type="paragraph" w:styleId="10">
    <w:name w:val="Body Text First Indent 2"/>
    <w:basedOn w:val="4"/>
    <w:link w:val="19"/>
    <w:semiHidden/>
    <w:unhideWhenUsed/>
    <w:qFormat/>
    <w:uiPriority w:val="99"/>
    <w:pPr>
      <w:ind w:firstLine="420" w:firstLineChars="200"/>
    </w:p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正文文本 字符"/>
    <w:basedOn w:val="12"/>
    <w:link w:val="3"/>
    <w:qFormat/>
    <w:uiPriority w:val="0"/>
    <w:rPr>
      <w:rFonts w:ascii="宋体" w:hAnsi="Calibri" w:eastAsia="宋体" w:cs="Times New Roman"/>
      <w:b/>
      <w:bCs/>
      <w:sz w:val="36"/>
      <w:szCs w:val="20"/>
    </w:rPr>
  </w:style>
  <w:style w:type="character" w:customStyle="1" w:styleId="17">
    <w:name w:val="纯文本 字符"/>
    <w:basedOn w:val="12"/>
    <w:link w:val="5"/>
    <w:qFormat/>
    <w:uiPriority w:val="0"/>
    <w:rPr>
      <w:rFonts w:ascii="宋体" w:hAnsi="Courier New" w:eastAsia="宋体" w:cs="Times New Roman"/>
      <w:sz w:val="24"/>
      <w:szCs w:val="20"/>
    </w:rPr>
  </w:style>
  <w:style w:type="character" w:customStyle="1" w:styleId="18">
    <w:name w:val="正文文本缩进 字符"/>
    <w:basedOn w:val="12"/>
    <w:link w:val="4"/>
    <w:semiHidden/>
    <w:qFormat/>
    <w:uiPriority w:val="99"/>
    <w:rPr>
      <w:kern w:val="2"/>
      <w:sz w:val="21"/>
      <w:szCs w:val="22"/>
    </w:rPr>
  </w:style>
  <w:style w:type="character" w:customStyle="1" w:styleId="19">
    <w:name w:val="正文文本首行缩进 2 字符"/>
    <w:basedOn w:val="18"/>
    <w:link w:val="10"/>
    <w:semiHidden/>
    <w:qFormat/>
    <w:uiPriority w:val="99"/>
    <w:rPr>
      <w:kern w:val="2"/>
      <w:sz w:val="21"/>
      <w:szCs w:val="22"/>
    </w:rPr>
  </w:style>
  <w:style w:type="character" w:customStyle="1" w:styleId="20">
    <w:name w:val="批注文字 字符"/>
    <w:basedOn w:val="12"/>
    <w:link w:val="2"/>
    <w:qFormat/>
    <w:uiPriority w:val="99"/>
    <w:rPr>
      <w:kern w:val="2"/>
      <w:sz w:val="21"/>
      <w:szCs w:val="22"/>
    </w:rPr>
  </w:style>
  <w:style w:type="character" w:customStyle="1" w:styleId="21">
    <w:name w:val="批注主题 字符"/>
    <w:basedOn w:val="20"/>
    <w:link w:val="9"/>
    <w:semiHidden/>
    <w:qFormat/>
    <w:uiPriority w:val="99"/>
    <w:rPr>
      <w:b/>
      <w:bCs/>
      <w:kern w:val="2"/>
      <w:sz w:val="21"/>
      <w:szCs w:val="22"/>
    </w:rPr>
  </w:style>
  <w:style w:type="character" w:customStyle="1" w:styleId="22">
    <w:name w:val="批注框文本 字符"/>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12B6-5021-4A79-839F-5FC75ED25C01}">
  <ds:schemaRefs/>
</ds:datastoreItem>
</file>

<file path=docProps/app.xml><?xml version="1.0" encoding="utf-8"?>
<Properties xmlns="http://schemas.openxmlformats.org/officeDocument/2006/extended-properties" xmlns:vt="http://schemas.openxmlformats.org/officeDocument/2006/docPropsVTypes">
  <Template>Normal</Template>
  <Pages>3</Pages>
  <Words>1136</Words>
  <Characters>1369</Characters>
  <Lines>12</Lines>
  <Paragraphs>3</Paragraphs>
  <TotalTime>42</TotalTime>
  <ScaleCrop>false</ScaleCrop>
  <LinksUpToDate>false</LinksUpToDate>
  <CharactersWithSpaces>1471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2023-05-25T10:39:59Z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